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Pr>
          <w:rFonts w:ascii="Georgia" w:eastAsia="Times New Roman" w:hAnsi="Georgia" w:cs="Times New Roman"/>
          <w:b/>
          <w:bCs/>
          <w:color w:val="343638"/>
          <w:sz w:val="27"/>
          <w:szCs w:val="27"/>
        </w:rPr>
        <w:t>Indian Evidence Act, 1872</w:t>
      </w:r>
    </w:p>
    <w:p w:rsid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p>
    <w:p w:rsid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Pr>
          <w:rFonts w:ascii="Georgia" w:eastAsia="Times New Roman" w:hAnsi="Georgia" w:cs="Times New Roman"/>
          <w:b/>
          <w:bCs/>
          <w:color w:val="343638"/>
          <w:sz w:val="27"/>
          <w:szCs w:val="27"/>
        </w:rPr>
        <w:t>Provisions relevant to the protection of Privacy</w:t>
      </w:r>
    </w:p>
    <w:p w:rsid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p>
    <w:p w:rsidR="00594F94" w:rsidRP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sidRPr="00594F94">
        <w:rPr>
          <w:rFonts w:ascii="Georgia" w:eastAsia="Times New Roman" w:hAnsi="Georgia" w:cs="Times New Roman"/>
          <w:b/>
          <w:bCs/>
          <w:color w:val="343638"/>
          <w:sz w:val="27"/>
          <w:szCs w:val="27"/>
        </w:rPr>
        <w:t>122. Communications during marriage -</w:t>
      </w:r>
    </w:p>
    <w:p w:rsidR="00594F94" w:rsidRPr="00594F94" w:rsidRDefault="00594F94" w:rsidP="00594F94">
      <w:pPr>
        <w:shd w:val="clear" w:color="auto" w:fill="FFFFFF"/>
        <w:spacing w:after="217"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color w:val="474747"/>
          <w:sz w:val="19"/>
          <w:szCs w:val="19"/>
        </w:rPr>
        <w:t>No person who is or has been married, shall be compelled to disclose any communication made to him during marriage by any person to whom he is or has been married; nor shall he be permitted to disclose any such communication, unless the person who made it, or his representative in interest, consents, except in suits between married persons, or proceedings in which one married person is prosecuted for any crime committed against the other.</w:t>
      </w:r>
    </w:p>
    <w:p w:rsidR="00594F94" w:rsidRP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sidRPr="00594F94">
        <w:rPr>
          <w:rFonts w:ascii="Georgia" w:eastAsia="Times New Roman" w:hAnsi="Georgia" w:cs="Times New Roman"/>
          <w:b/>
          <w:bCs/>
          <w:color w:val="343638"/>
          <w:sz w:val="27"/>
          <w:szCs w:val="27"/>
        </w:rPr>
        <w:t>123. Evidence as to affairs of State -</w:t>
      </w:r>
    </w:p>
    <w:p w:rsidR="00594F94" w:rsidRPr="00594F94" w:rsidRDefault="00594F94" w:rsidP="00594F94">
      <w:pPr>
        <w:shd w:val="clear" w:color="auto" w:fill="FFFFFF"/>
        <w:spacing w:after="217"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color w:val="474747"/>
          <w:sz w:val="19"/>
          <w:szCs w:val="19"/>
        </w:rPr>
        <w:t xml:space="preserve">No one shall be permitted to give any evidence derived from unpublished official records relating to any affairs of State, except </w:t>
      </w:r>
      <w:proofErr w:type="spellStart"/>
      <w:r w:rsidRPr="00594F94">
        <w:rPr>
          <w:rFonts w:ascii="Georgia" w:eastAsia="Times New Roman" w:hAnsi="Georgia" w:cs="Times New Roman"/>
          <w:color w:val="474747"/>
          <w:sz w:val="19"/>
          <w:szCs w:val="19"/>
        </w:rPr>
        <w:t>wit</w:t>
      </w:r>
      <w:proofErr w:type="spellEnd"/>
      <w:r w:rsidRPr="00594F94">
        <w:rPr>
          <w:rFonts w:ascii="Georgia" w:eastAsia="Times New Roman" w:hAnsi="Georgia" w:cs="Times New Roman"/>
          <w:color w:val="474747"/>
          <w:sz w:val="19"/>
          <w:szCs w:val="19"/>
        </w:rPr>
        <w:t xml:space="preserve"> the permission of the officer at the head of the department concerned, who shall give or withhold such permission as he thinks fit.</w:t>
      </w:r>
    </w:p>
    <w:p w:rsidR="00594F94" w:rsidRP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sidRPr="00594F94">
        <w:rPr>
          <w:rFonts w:ascii="Georgia" w:eastAsia="Times New Roman" w:hAnsi="Georgia" w:cs="Times New Roman"/>
          <w:b/>
          <w:bCs/>
          <w:color w:val="343638"/>
          <w:sz w:val="27"/>
          <w:szCs w:val="27"/>
        </w:rPr>
        <w:t>124. Official communications -</w:t>
      </w:r>
    </w:p>
    <w:p w:rsidR="00594F94" w:rsidRPr="00594F94" w:rsidRDefault="00594F94" w:rsidP="00594F94">
      <w:pPr>
        <w:shd w:val="clear" w:color="auto" w:fill="FFFFFF"/>
        <w:spacing w:after="217"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color w:val="474747"/>
          <w:sz w:val="19"/>
          <w:szCs w:val="19"/>
        </w:rPr>
        <w:t>No public officer shall be compelled to disclose communications made to him in official confidence, when he considers that the public interests would suffer by the disclosure.</w:t>
      </w:r>
    </w:p>
    <w:p w:rsidR="00594F94" w:rsidRPr="00594F94" w:rsidRDefault="00594F94" w:rsidP="00594F94">
      <w:pPr>
        <w:shd w:val="clear" w:color="auto" w:fill="FFFFFF"/>
        <w:spacing w:after="0" w:line="326" w:lineRule="atLeast"/>
        <w:jc w:val="both"/>
        <w:outlineLvl w:val="1"/>
        <w:rPr>
          <w:rFonts w:ascii="Georgia" w:eastAsia="Times New Roman" w:hAnsi="Georgia" w:cs="Times New Roman"/>
          <w:b/>
          <w:bCs/>
          <w:color w:val="343638"/>
          <w:sz w:val="27"/>
          <w:szCs w:val="27"/>
        </w:rPr>
      </w:pPr>
      <w:r w:rsidRPr="00594F94">
        <w:rPr>
          <w:rFonts w:ascii="Georgia" w:eastAsia="Times New Roman" w:hAnsi="Georgia" w:cs="Times New Roman"/>
          <w:b/>
          <w:bCs/>
          <w:color w:val="343638"/>
          <w:sz w:val="27"/>
          <w:szCs w:val="27"/>
        </w:rPr>
        <w:t>125. Information as to commission of offences -</w:t>
      </w:r>
    </w:p>
    <w:p w:rsidR="00594F94" w:rsidRPr="00594F94" w:rsidRDefault="00594F94" w:rsidP="00594F94">
      <w:pPr>
        <w:shd w:val="clear" w:color="auto" w:fill="FFFFFF"/>
        <w:spacing w:after="0"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b/>
          <w:bCs/>
          <w:color w:val="474747"/>
          <w:sz w:val="19"/>
          <w:szCs w:val="19"/>
          <w:vertAlign w:val="superscript"/>
        </w:rPr>
        <w:t>1</w:t>
      </w:r>
      <w:r w:rsidRPr="00594F94">
        <w:rPr>
          <w:rFonts w:ascii="Georgia" w:eastAsia="Times New Roman" w:hAnsi="Georgia" w:cs="Times New Roman"/>
          <w:color w:val="474747"/>
          <w:sz w:val="19"/>
          <w:szCs w:val="19"/>
        </w:rPr>
        <w:t>125. Information as to commission of offences</w:t>
      </w:r>
      <w:proofErr w:type="gramStart"/>
      <w:r w:rsidRPr="00594F94">
        <w:rPr>
          <w:rFonts w:ascii="Georgia" w:eastAsia="Times New Roman" w:hAnsi="Georgia" w:cs="Times New Roman"/>
          <w:color w:val="474747"/>
          <w:sz w:val="19"/>
          <w:szCs w:val="19"/>
        </w:rPr>
        <w:t>.-</w:t>
      </w:r>
      <w:proofErr w:type="gramEnd"/>
      <w:r w:rsidRPr="00594F94">
        <w:rPr>
          <w:rFonts w:ascii="Georgia" w:eastAsia="Times New Roman" w:hAnsi="Georgia" w:cs="Times New Roman"/>
          <w:color w:val="474747"/>
          <w:sz w:val="19"/>
          <w:szCs w:val="19"/>
        </w:rPr>
        <w:t xml:space="preserve"> No Magistrate or Police officer shall be compelled to say whence he got any information as to the commission of any offence, and no Revenue officer shall be compelled to say whence he got any information as to the commission of any offence against the public revenue.</w:t>
      </w:r>
    </w:p>
    <w:p w:rsidR="00594F94" w:rsidRPr="00594F94" w:rsidRDefault="00594F94" w:rsidP="00594F94">
      <w:pPr>
        <w:shd w:val="clear" w:color="auto" w:fill="FFFFFF"/>
        <w:spacing w:after="217"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color w:val="474747"/>
          <w:sz w:val="19"/>
          <w:szCs w:val="19"/>
        </w:rPr>
        <w:t>Explanation</w:t>
      </w:r>
    </w:p>
    <w:p w:rsidR="00594F94" w:rsidRPr="00594F94" w:rsidRDefault="00594F94" w:rsidP="00594F94">
      <w:pPr>
        <w:shd w:val="clear" w:color="auto" w:fill="FFFFFF"/>
        <w:spacing w:after="217"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color w:val="474747"/>
          <w:sz w:val="19"/>
          <w:szCs w:val="19"/>
        </w:rPr>
        <w:t>“Revenue officer” in this section means an officer employed in or about the business of any branch of the public revenue.</w:t>
      </w:r>
    </w:p>
    <w:p w:rsidR="00594F94" w:rsidRPr="00594F94" w:rsidRDefault="00594F94" w:rsidP="00594F94">
      <w:pPr>
        <w:shd w:val="clear" w:color="auto" w:fill="FFFFFF"/>
        <w:spacing w:after="0" w:line="326" w:lineRule="atLeast"/>
        <w:jc w:val="both"/>
        <w:rPr>
          <w:rFonts w:ascii="Georgia" w:eastAsia="Times New Roman" w:hAnsi="Georgia" w:cs="Times New Roman"/>
          <w:color w:val="474747"/>
          <w:sz w:val="19"/>
          <w:szCs w:val="19"/>
        </w:rPr>
      </w:pPr>
      <w:r w:rsidRPr="00594F94">
        <w:rPr>
          <w:rFonts w:ascii="Georgia" w:eastAsia="Times New Roman" w:hAnsi="Georgia" w:cs="Times New Roman"/>
          <w:b/>
          <w:bCs/>
          <w:color w:val="474747"/>
          <w:sz w:val="19"/>
          <w:szCs w:val="19"/>
        </w:rPr>
        <w:t>1. Subs. by Act 3 of 1887, sec. 1, for section 125.</w:t>
      </w:r>
    </w:p>
    <w:p w:rsidR="00281286" w:rsidRDefault="00281286"/>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126. Professional communications -</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 xml:space="preserve">No barrister, attorney, pleader or </w:t>
      </w:r>
      <w:proofErr w:type="spellStart"/>
      <w:r>
        <w:rPr>
          <w:rFonts w:ascii="Georgia" w:hAnsi="Georgia"/>
          <w:color w:val="474747"/>
          <w:sz w:val="20"/>
          <w:szCs w:val="20"/>
        </w:rPr>
        <w:t>vakil</w:t>
      </w:r>
      <w:proofErr w:type="spellEnd"/>
      <w:r>
        <w:rPr>
          <w:rFonts w:ascii="Georgia" w:hAnsi="Georgia"/>
          <w:color w:val="474747"/>
          <w:sz w:val="20"/>
          <w:szCs w:val="20"/>
        </w:rPr>
        <w:t xml:space="preserve"> shall at any time be permitted, unless with his client’s express consent, to disclose any communication made to him in the course and for the purpose of his employment as such barrister, pleader, attorney or </w:t>
      </w:r>
      <w:proofErr w:type="spellStart"/>
      <w:r>
        <w:rPr>
          <w:rFonts w:ascii="Georgia" w:hAnsi="Georgia"/>
          <w:color w:val="474747"/>
          <w:sz w:val="20"/>
          <w:szCs w:val="20"/>
        </w:rPr>
        <w:t>vakil</w:t>
      </w:r>
      <w:proofErr w:type="spellEnd"/>
      <w:r>
        <w:rPr>
          <w:rFonts w:ascii="Georgia" w:hAnsi="Georgia"/>
          <w:color w:val="474747"/>
          <w:sz w:val="20"/>
          <w:szCs w:val="20"/>
        </w:rPr>
        <w:t>, by or on behalf of his client, or to state the contents or condition of any document with which he has become acquainted in the course and for the purpose of his professional employment, or to disclose any advice given by him to his client in the course and for the purpose of such employment:</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Provided that nothing in this section shall protect from disclosure—</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color w:val="474747"/>
          <w:sz w:val="20"/>
          <w:szCs w:val="20"/>
        </w:rPr>
        <w:lastRenderedPageBreak/>
        <w:t>(1) Any such communication made in furtherance of any</w:t>
      </w:r>
      <w:r>
        <w:rPr>
          <w:rStyle w:val="apple-converted-space"/>
          <w:rFonts w:ascii="Georgia" w:hAnsi="Georgia"/>
          <w:color w:val="474747"/>
          <w:sz w:val="20"/>
          <w:szCs w:val="20"/>
        </w:rPr>
        <w:t> </w:t>
      </w:r>
      <w:r>
        <w:rPr>
          <w:rFonts w:ascii="Georgia" w:hAnsi="Georgia"/>
          <w:b/>
          <w:bCs/>
          <w:color w:val="474747"/>
          <w:sz w:val="20"/>
          <w:szCs w:val="20"/>
          <w:vertAlign w:val="superscript"/>
        </w:rPr>
        <w:t>1</w:t>
      </w:r>
      <w:r>
        <w:rPr>
          <w:rFonts w:ascii="Georgia" w:hAnsi="Georgia"/>
          <w:color w:val="474747"/>
          <w:sz w:val="20"/>
          <w:szCs w:val="20"/>
        </w:rPr>
        <w:t>[illegal] purpose;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 xml:space="preserve">(2) Any fact observed by any barrister, pleader, attorney or </w:t>
      </w:r>
      <w:proofErr w:type="spellStart"/>
      <w:r>
        <w:rPr>
          <w:rFonts w:ascii="Georgia" w:hAnsi="Georgia"/>
          <w:color w:val="474747"/>
          <w:sz w:val="20"/>
          <w:szCs w:val="20"/>
        </w:rPr>
        <w:t>vakil</w:t>
      </w:r>
      <w:proofErr w:type="spellEnd"/>
      <w:r>
        <w:rPr>
          <w:rFonts w:ascii="Georgia" w:hAnsi="Georgia"/>
          <w:color w:val="474747"/>
          <w:sz w:val="20"/>
          <w:szCs w:val="20"/>
        </w:rPr>
        <w:t>, in the course of his employment as such, showing that any crime or fraud has been committed since the commencement of his employment.</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color w:val="474747"/>
          <w:sz w:val="20"/>
          <w:szCs w:val="20"/>
        </w:rPr>
        <w:t>It is immaterial whether the attention of such barrister,</w:t>
      </w:r>
      <w:r>
        <w:rPr>
          <w:rStyle w:val="apple-converted-space"/>
          <w:rFonts w:ascii="Georgia" w:hAnsi="Georgia"/>
          <w:color w:val="474747"/>
          <w:sz w:val="20"/>
          <w:szCs w:val="20"/>
        </w:rPr>
        <w:t> </w:t>
      </w:r>
      <w:r>
        <w:rPr>
          <w:rFonts w:ascii="Georgia" w:hAnsi="Georgia"/>
          <w:b/>
          <w:bCs/>
          <w:color w:val="474747"/>
          <w:sz w:val="20"/>
          <w:szCs w:val="20"/>
          <w:vertAlign w:val="superscript"/>
        </w:rPr>
        <w:t>2</w:t>
      </w:r>
      <w:r>
        <w:rPr>
          <w:rFonts w:ascii="Georgia" w:hAnsi="Georgia"/>
          <w:color w:val="474747"/>
          <w:sz w:val="20"/>
          <w:szCs w:val="20"/>
        </w:rPr>
        <w:t xml:space="preserve">[pleader], attorney or </w:t>
      </w:r>
      <w:proofErr w:type="spellStart"/>
      <w:r>
        <w:rPr>
          <w:rFonts w:ascii="Georgia" w:hAnsi="Georgia"/>
          <w:color w:val="474747"/>
          <w:sz w:val="20"/>
          <w:szCs w:val="20"/>
        </w:rPr>
        <w:t>vakil</w:t>
      </w:r>
      <w:proofErr w:type="spellEnd"/>
      <w:r>
        <w:rPr>
          <w:rFonts w:ascii="Georgia" w:hAnsi="Georgia"/>
          <w:color w:val="474747"/>
          <w:sz w:val="20"/>
          <w:szCs w:val="20"/>
        </w:rPr>
        <w:t xml:space="preserve"> was or was not directed to such fact by or on behalf of his client.</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Explanation</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The obligation stated in this section continues after the employment has ceased.</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Style w:val="Strong"/>
          <w:rFonts w:ascii="Georgia" w:hAnsi="Georgia"/>
          <w:color w:val="474747"/>
          <w:sz w:val="20"/>
          <w:szCs w:val="20"/>
        </w:rPr>
        <w:t>Illustrations</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w:t>
      </w:r>
      <w:proofErr w:type="gramStart"/>
      <w:r>
        <w:rPr>
          <w:rFonts w:ascii="Georgia" w:hAnsi="Georgia"/>
          <w:color w:val="474747"/>
          <w:sz w:val="20"/>
          <w:szCs w:val="20"/>
        </w:rPr>
        <w:t>a</w:t>
      </w:r>
      <w:proofErr w:type="gramEnd"/>
      <w:r>
        <w:rPr>
          <w:rFonts w:ascii="Georgia" w:hAnsi="Georgia"/>
          <w:color w:val="474747"/>
          <w:sz w:val="20"/>
          <w:szCs w:val="20"/>
        </w:rPr>
        <w:t>) A, a client, says to B, an attorney—“I have committed forgery, and I wish you to defend me”.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 xml:space="preserve">As the </w:t>
      </w:r>
      <w:proofErr w:type="spellStart"/>
      <w:r>
        <w:rPr>
          <w:rFonts w:ascii="Georgia" w:hAnsi="Georgia"/>
          <w:color w:val="474747"/>
          <w:sz w:val="20"/>
          <w:szCs w:val="20"/>
        </w:rPr>
        <w:t>defence</w:t>
      </w:r>
      <w:proofErr w:type="spellEnd"/>
      <w:r>
        <w:rPr>
          <w:rFonts w:ascii="Georgia" w:hAnsi="Georgia"/>
          <w:color w:val="474747"/>
          <w:sz w:val="20"/>
          <w:szCs w:val="20"/>
        </w:rPr>
        <w:t xml:space="preserve"> of a man known to be guilty is not a criminal purpose, this communication is protected from disclosure.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(b) A, a client, says to B, an attorney—“I wish to obtain possession of property by the use of a forged deed on which I request you to sue”.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This communication, being made in furtherance of a criminal purpose, is not protected from disclosure.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w:t>
      </w:r>
      <w:proofErr w:type="gramStart"/>
      <w:r>
        <w:rPr>
          <w:rFonts w:ascii="Georgia" w:hAnsi="Georgia"/>
          <w:color w:val="474747"/>
          <w:sz w:val="20"/>
          <w:szCs w:val="20"/>
        </w:rPr>
        <w:t>c</w:t>
      </w:r>
      <w:proofErr w:type="gramEnd"/>
      <w:r>
        <w:rPr>
          <w:rFonts w:ascii="Georgia" w:hAnsi="Georgia"/>
          <w:color w:val="474747"/>
          <w:sz w:val="20"/>
          <w:szCs w:val="20"/>
        </w:rPr>
        <w:t>) A, being charged with embezzlement, retains B, an attorney, to defend him. In the course of the proceedings, B observes that an entry has been made in A’s account-book, charging A with the sum said to have been embezzled, which entry was not in the book at the commencement of his employment.</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This being a fact observed by B in the course of his employment, showing that a fraud has been committed since the commencement of the proceedings, it is not protected from disclosure.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b/>
          <w:bCs/>
          <w:color w:val="474747"/>
          <w:sz w:val="20"/>
          <w:szCs w:val="20"/>
        </w:rPr>
        <w:t>1. Subs. by Act 18 of 1872, sec. 10, for “criminal”.</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b/>
          <w:bCs/>
          <w:color w:val="474747"/>
          <w:sz w:val="20"/>
          <w:szCs w:val="20"/>
        </w:rPr>
        <w:t>2. Ins. by Act 18 of 1872, sec. 10</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p>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127. Section 126 to apply to interpreters etc. -</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 xml:space="preserve">The provisions of Section 126 apply to interpreters, and the clerks or servants of barristers, pleaders, attorneys and </w:t>
      </w:r>
      <w:proofErr w:type="spellStart"/>
      <w:r>
        <w:rPr>
          <w:rFonts w:ascii="Georgia" w:hAnsi="Georgia"/>
          <w:color w:val="474747"/>
          <w:sz w:val="20"/>
          <w:szCs w:val="20"/>
        </w:rPr>
        <w:t>vakils</w:t>
      </w:r>
      <w:proofErr w:type="spellEnd"/>
      <w:r>
        <w:rPr>
          <w:rFonts w:ascii="Georgia" w:hAnsi="Georgia"/>
          <w:color w:val="474747"/>
          <w:sz w:val="20"/>
          <w:szCs w:val="20"/>
        </w:rPr>
        <w:t>.</w:t>
      </w:r>
    </w:p>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128. Privilege not waived by volunteering evidence -</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color w:val="474747"/>
          <w:sz w:val="20"/>
          <w:szCs w:val="20"/>
        </w:rPr>
        <w:t>If any party to a suit gives evidence therein at his own instance or otherwise, he shall not be deemed to have consented thereby to such disclosure as is mentioned in Section 126, and if any party to a suit or proceeding calls any such barrister,</w:t>
      </w:r>
      <w:r>
        <w:rPr>
          <w:rStyle w:val="apple-converted-space"/>
          <w:rFonts w:ascii="Georgia" w:hAnsi="Georgia"/>
          <w:color w:val="474747"/>
          <w:sz w:val="20"/>
          <w:szCs w:val="20"/>
        </w:rPr>
        <w:t> </w:t>
      </w:r>
      <w:r>
        <w:rPr>
          <w:rFonts w:ascii="Georgia" w:hAnsi="Georgia"/>
          <w:b/>
          <w:bCs/>
          <w:color w:val="474747"/>
          <w:sz w:val="20"/>
          <w:szCs w:val="20"/>
          <w:vertAlign w:val="superscript"/>
        </w:rPr>
        <w:t>1</w:t>
      </w:r>
      <w:r>
        <w:rPr>
          <w:rFonts w:ascii="Georgia" w:hAnsi="Georgia"/>
          <w:color w:val="474747"/>
          <w:sz w:val="20"/>
          <w:szCs w:val="20"/>
        </w:rPr>
        <w:t xml:space="preserve">pleader, attorney or </w:t>
      </w:r>
      <w:proofErr w:type="spellStart"/>
      <w:r>
        <w:rPr>
          <w:rFonts w:ascii="Georgia" w:hAnsi="Georgia"/>
          <w:color w:val="474747"/>
          <w:sz w:val="20"/>
          <w:szCs w:val="20"/>
        </w:rPr>
        <w:t>vakil</w:t>
      </w:r>
      <w:proofErr w:type="spellEnd"/>
      <w:r>
        <w:rPr>
          <w:rFonts w:ascii="Georgia" w:hAnsi="Georgia"/>
          <w:color w:val="474747"/>
          <w:sz w:val="20"/>
          <w:szCs w:val="20"/>
        </w:rPr>
        <w:t xml:space="preserve"> as a witness, he shall be deemed to have </w:t>
      </w:r>
      <w:r>
        <w:rPr>
          <w:rFonts w:ascii="Georgia" w:hAnsi="Georgia"/>
          <w:color w:val="474747"/>
          <w:sz w:val="20"/>
          <w:szCs w:val="20"/>
        </w:rPr>
        <w:lastRenderedPageBreak/>
        <w:t xml:space="preserve">consented to such disclosure only if he questions such barrister, attorney or </w:t>
      </w:r>
      <w:proofErr w:type="spellStart"/>
      <w:r>
        <w:rPr>
          <w:rFonts w:ascii="Georgia" w:hAnsi="Georgia"/>
          <w:color w:val="474747"/>
          <w:sz w:val="20"/>
          <w:szCs w:val="20"/>
        </w:rPr>
        <w:t>vakil</w:t>
      </w:r>
      <w:proofErr w:type="spellEnd"/>
      <w:r>
        <w:rPr>
          <w:rFonts w:ascii="Georgia" w:hAnsi="Georgia"/>
          <w:color w:val="474747"/>
          <w:sz w:val="20"/>
          <w:szCs w:val="20"/>
        </w:rPr>
        <w:t xml:space="preserve"> on matters which, but for such question, he would not be at liberty to disclose.</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b/>
          <w:bCs/>
          <w:color w:val="474747"/>
          <w:sz w:val="20"/>
          <w:szCs w:val="20"/>
        </w:rPr>
        <w:t>1. Ins. by Act 18 of 1872, sec. 10.</w:t>
      </w:r>
    </w:p>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129. Confidential communication with Legal Advisers -</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No one shall be compelled to disclose to the Court any confidential communication which has taken place between him and his legal professional adviser, unless he offers himself as a witness in which case he may be compelled to disclose any such communication as may appear to the Court necessary to be known in order to explain any evidence which he has give, but not others.</w:t>
      </w:r>
    </w:p>
    <w:p w:rsidR="00594F94" w:rsidRDefault="00594F94"/>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130. Production of title-deeds of witness, not a party -</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 xml:space="preserve">No witness who is not a party to a suit shall be compelled to produce his title-deeds to any property, or any document in virtue of which he holds any property as </w:t>
      </w:r>
      <w:proofErr w:type="spellStart"/>
      <w:r>
        <w:rPr>
          <w:rFonts w:ascii="Georgia" w:hAnsi="Georgia"/>
          <w:color w:val="474747"/>
          <w:sz w:val="20"/>
          <w:szCs w:val="20"/>
        </w:rPr>
        <w:t>pledgee</w:t>
      </w:r>
      <w:proofErr w:type="spellEnd"/>
      <w:r>
        <w:rPr>
          <w:rFonts w:ascii="Georgia" w:hAnsi="Georgia"/>
          <w:color w:val="474747"/>
          <w:sz w:val="20"/>
          <w:szCs w:val="20"/>
        </w:rPr>
        <w:t xml:space="preserve"> or mortgagee, or any document the production of which might tend to criminate him, unless he has agreed in writing to produce them with the person seeking the production of such deeds or some person through whom he claims.</w:t>
      </w:r>
    </w:p>
    <w:p w:rsidR="00594F94" w:rsidRDefault="00594F94" w:rsidP="00594F94">
      <w:pPr>
        <w:pStyle w:val="Heading2"/>
        <w:shd w:val="clear" w:color="auto" w:fill="FFFFFF"/>
        <w:spacing w:before="0" w:beforeAutospacing="0" w:after="0" w:afterAutospacing="0" w:line="326" w:lineRule="atLeast"/>
        <w:jc w:val="both"/>
        <w:rPr>
          <w:rFonts w:ascii="Georgia" w:hAnsi="Georgia"/>
          <w:color w:val="343638"/>
          <w:sz w:val="27"/>
          <w:szCs w:val="27"/>
        </w:rPr>
      </w:pPr>
      <w:r>
        <w:rPr>
          <w:rFonts w:ascii="Georgia" w:hAnsi="Georgia"/>
          <w:color w:val="343638"/>
          <w:sz w:val="27"/>
          <w:szCs w:val="27"/>
        </w:rPr>
        <w:t>131. Production of documents or electronic records which another person, having possession, could refuse to produce -</w:t>
      </w:r>
    </w:p>
    <w:p w:rsidR="00594F94" w:rsidRDefault="00594F94" w:rsidP="00594F94">
      <w:pPr>
        <w:pStyle w:val="NormalWeb"/>
        <w:shd w:val="clear" w:color="auto" w:fill="FFFFFF"/>
        <w:spacing w:before="0" w:beforeAutospacing="0" w:after="0" w:afterAutospacing="0" w:line="326" w:lineRule="atLeast"/>
        <w:jc w:val="both"/>
        <w:rPr>
          <w:rFonts w:ascii="Georgia" w:hAnsi="Georgia"/>
          <w:color w:val="474747"/>
          <w:sz w:val="20"/>
          <w:szCs w:val="20"/>
        </w:rPr>
      </w:pPr>
      <w:r>
        <w:rPr>
          <w:rFonts w:ascii="Georgia" w:hAnsi="Georgia"/>
          <w:b/>
          <w:bCs/>
          <w:color w:val="474747"/>
          <w:sz w:val="20"/>
          <w:szCs w:val="20"/>
          <w:vertAlign w:val="superscript"/>
        </w:rPr>
        <w:t>1</w:t>
      </w:r>
      <w:r>
        <w:rPr>
          <w:rFonts w:ascii="Georgia" w:hAnsi="Georgia"/>
          <w:color w:val="474747"/>
          <w:sz w:val="20"/>
          <w:szCs w:val="20"/>
        </w:rPr>
        <w:t>131. Production of documents or electronic records which another person, having possession, could refuse to produce.- No one shall be compelled to produce documents in his possession or electronic records under his control, which any other person would be entitled to refuse to produce if they were in his possession, or control, unless such last-mentioned person consents to their production.</w:t>
      </w:r>
    </w:p>
    <w:p w:rsidR="00594F94" w:rsidRDefault="00594F94" w:rsidP="00594F94">
      <w:pPr>
        <w:pStyle w:val="NormalWeb"/>
        <w:shd w:val="clear" w:color="auto" w:fill="FFFFFF"/>
        <w:spacing w:before="0" w:beforeAutospacing="0" w:after="217" w:afterAutospacing="0" w:line="326" w:lineRule="atLeast"/>
        <w:jc w:val="both"/>
        <w:rPr>
          <w:rFonts w:ascii="Georgia" w:hAnsi="Georgia"/>
          <w:color w:val="474747"/>
          <w:sz w:val="20"/>
          <w:szCs w:val="20"/>
        </w:rPr>
      </w:pPr>
      <w:r>
        <w:rPr>
          <w:rFonts w:ascii="Georgia" w:hAnsi="Georgia"/>
          <w:color w:val="474747"/>
          <w:sz w:val="20"/>
          <w:szCs w:val="20"/>
        </w:rPr>
        <w:t>———————–</w:t>
      </w:r>
    </w:p>
    <w:p w:rsidR="00594F94" w:rsidRDefault="00594F94">
      <w:proofErr w:type="gramStart"/>
      <w:r>
        <w:rPr>
          <w:rFonts w:ascii="Georgia" w:hAnsi="Georgia"/>
          <w:b/>
          <w:bCs/>
          <w:color w:val="474747"/>
          <w:sz w:val="20"/>
          <w:szCs w:val="20"/>
          <w:shd w:val="clear" w:color="auto" w:fill="FFFFFF"/>
        </w:rPr>
        <w:t>1. Subs. by Act 21 of 2000, sec. 92 and Sch. II, for section 131 (</w:t>
      </w:r>
      <w:proofErr w:type="spellStart"/>
      <w:r>
        <w:rPr>
          <w:rFonts w:ascii="Georgia" w:hAnsi="Georgia"/>
          <w:b/>
          <w:bCs/>
          <w:color w:val="474747"/>
          <w:sz w:val="20"/>
          <w:szCs w:val="20"/>
          <w:shd w:val="clear" w:color="auto" w:fill="FFFFFF"/>
        </w:rPr>
        <w:t>w.e.f</w:t>
      </w:r>
      <w:proofErr w:type="spellEnd"/>
      <w:r>
        <w:rPr>
          <w:rFonts w:ascii="Georgia" w:hAnsi="Georgia"/>
          <w:b/>
          <w:bCs/>
          <w:color w:val="474747"/>
          <w:sz w:val="20"/>
          <w:szCs w:val="20"/>
          <w:shd w:val="clear" w:color="auto" w:fill="FFFFFF"/>
        </w:rPr>
        <w:t>. 17-10-2000).</w:t>
      </w:r>
      <w:proofErr w:type="gramEnd"/>
    </w:p>
    <w:sectPr w:rsidR="00594F94" w:rsidSect="002812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94F94"/>
    <w:rsid w:val="00281286"/>
    <w:rsid w:val="00594F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86"/>
  </w:style>
  <w:style w:type="paragraph" w:styleId="Heading2">
    <w:name w:val="heading 2"/>
    <w:basedOn w:val="Normal"/>
    <w:link w:val="Heading2Char"/>
    <w:uiPriority w:val="9"/>
    <w:qFormat/>
    <w:rsid w:val="00594F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4F9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94F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94F94"/>
  </w:style>
  <w:style w:type="character" w:styleId="Strong">
    <w:name w:val="Strong"/>
    <w:basedOn w:val="DefaultParagraphFont"/>
    <w:uiPriority w:val="22"/>
    <w:qFormat/>
    <w:rsid w:val="00594F94"/>
    <w:rPr>
      <w:b/>
      <w:bCs/>
    </w:rPr>
  </w:style>
</w:styles>
</file>

<file path=word/webSettings.xml><?xml version="1.0" encoding="utf-8"?>
<w:webSettings xmlns:r="http://schemas.openxmlformats.org/officeDocument/2006/relationships" xmlns:w="http://schemas.openxmlformats.org/wordprocessingml/2006/main">
  <w:divs>
    <w:div w:id="456875348">
      <w:bodyDiv w:val="1"/>
      <w:marLeft w:val="0"/>
      <w:marRight w:val="0"/>
      <w:marTop w:val="0"/>
      <w:marBottom w:val="0"/>
      <w:divBdr>
        <w:top w:val="none" w:sz="0" w:space="0" w:color="auto"/>
        <w:left w:val="none" w:sz="0" w:space="0" w:color="auto"/>
        <w:bottom w:val="none" w:sz="0" w:space="0" w:color="auto"/>
        <w:right w:val="none" w:sz="0" w:space="0" w:color="auto"/>
      </w:divBdr>
    </w:div>
    <w:div w:id="634067059">
      <w:bodyDiv w:val="1"/>
      <w:marLeft w:val="0"/>
      <w:marRight w:val="0"/>
      <w:marTop w:val="0"/>
      <w:marBottom w:val="0"/>
      <w:divBdr>
        <w:top w:val="none" w:sz="0" w:space="0" w:color="auto"/>
        <w:left w:val="none" w:sz="0" w:space="0" w:color="auto"/>
        <w:bottom w:val="none" w:sz="0" w:space="0" w:color="auto"/>
        <w:right w:val="none" w:sz="0" w:space="0" w:color="auto"/>
      </w:divBdr>
    </w:div>
    <w:div w:id="1470901936">
      <w:bodyDiv w:val="1"/>
      <w:marLeft w:val="0"/>
      <w:marRight w:val="0"/>
      <w:marTop w:val="0"/>
      <w:marBottom w:val="0"/>
      <w:divBdr>
        <w:top w:val="none" w:sz="0" w:space="0" w:color="auto"/>
        <w:left w:val="none" w:sz="0" w:space="0" w:color="auto"/>
        <w:bottom w:val="none" w:sz="0" w:space="0" w:color="auto"/>
        <w:right w:val="none" w:sz="0" w:space="0" w:color="auto"/>
      </w:divBdr>
    </w:div>
    <w:div w:id="1723283973">
      <w:bodyDiv w:val="1"/>
      <w:marLeft w:val="0"/>
      <w:marRight w:val="0"/>
      <w:marTop w:val="0"/>
      <w:marBottom w:val="0"/>
      <w:divBdr>
        <w:top w:val="none" w:sz="0" w:space="0" w:color="auto"/>
        <w:left w:val="none" w:sz="0" w:space="0" w:color="auto"/>
        <w:bottom w:val="none" w:sz="0" w:space="0" w:color="auto"/>
        <w:right w:val="none" w:sz="0" w:space="0" w:color="auto"/>
      </w:divBdr>
    </w:div>
    <w:div w:id="213313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910</Words>
  <Characters>5190</Characters>
  <Application>Microsoft Office Word</Application>
  <DocSecurity>0</DocSecurity>
  <Lines>43</Lines>
  <Paragraphs>12</Paragraphs>
  <ScaleCrop>false</ScaleCrop>
  <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tanvi</dc:creator>
  <cp:lastModifiedBy>tanvi</cp:lastModifiedBy>
  <cp:revision>1</cp:revision>
  <dcterms:created xsi:type="dcterms:W3CDTF">2014-04-22T12:07:00Z</dcterms:created>
  <dcterms:modified xsi:type="dcterms:W3CDTF">2014-04-22T12:12:00Z</dcterms:modified>
</cp:coreProperties>
</file>